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49" w:rsidRDefault="00177C49" w:rsidP="00064D54">
      <w:pPr>
        <w:spacing w:after="0" w:line="240" w:lineRule="auto"/>
        <w:ind w:firstLine="720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 xml:space="preserve">USC: </w:t>
      </w:r>
      <w:r w:rsidRPr="00177C49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</w:rPr>
        <w:t>Annual General Mandate</w:t>
      </w:r>
    </w:p>
    <w:p w:rsidR="00064D54" w:rsidRPr="00064D54" w:rsidRDefault="00064D54" w:rsidP="00064D54">
      <w:pPr>
        <w:spacing w:after="0" w:line="240" w:lineRule="auto"/>
        <w:ind w:firstLine="7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064D5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On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25 April 2017, </w:t>
      </w:r>
      <w:r w:rsidR="00453774" w:rsidRPr="00453774">
        <w:rPr>
          <w:rFonts w:ascii="Arial" w:hAnsi="Arial" w:cs="Arial"/>
          <w:sz w:val="20"/>
          <w:szCs w:val="20"/>
        </w:rPr>
        <w:t xml:space="preserve">Union </w:t>
      </w:r>
      <w:r w:rsidR="0054747E" w:rsidRPr="00453774">
        <w:rPr>
          <w:rFonts w:ascii="Arial" w:hAnsi="Arial" w:cs="Arial"/>
          <w:sz w:val="20"/>
          <w:szCs w:val="20"/>
        </w:rPr>
        <w:t>of</w:t>
      </w:r>
      <w:r w:rsidR="00453774" w:rsidRPr="00453774">
        <w:rPr>
          <w:rFonts w:ascii="Arial" w:hAnsi="Arial" w:cs="Arial"/>
          <w:sz w:val="20"/>
          <w:szCs w:val="20"/>
        </w:rPr>
        <w:t xml:space="preserve"> Survey </w:t>
      </w:r>
      <w:r w:rsidR="00453774">
        <w:rPr>
          <w:rFonts w:ascii="Arial" w:hAnsi="Arial" w:cs="Arial"/>
          <w:sz w:val="20"/>
          <w:szCs w:val="20"/>
        </w:rPr>
        <w:t>a</w:t>
      </w:r>
      <w:r w:rsidR="00453774" w:rsidRPr="00453774">
        <w:rPr>
          <w:rFonts w:ascii="Arial" w:hAnsi="Arial" w:cs="Arial"/>
          <w:sz w:val="20"/>
          <w:szCs w:val="20"/>
        </w:rPr>
        <w:t>nd Construction Joint Stock Company</w:t>
      </w:r>
      <w:r w:rsidR="00453774">
        <w:rPr>
          <w:rFonts w:ascii="Arial" w:hAnsi="Arial" w:cs="Arial"/>
          <w:sz w:val="20"/>
          <w:szCs w:val="20"/>
        </w:rPr>
        <w:t xml:space="preserve"> </w:t>
      </w:r>
      <w:r w:rsidR="0092439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announced the </w:t>
      </w:r>
      <w:r w:rsidR="00924396" w:rsidRPr="0092439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Annual General Mandate</w:t>
      </w:r>
      <w:r w:rsidR="0092439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as follows:</w:t>
      </w:r>
    </w:p>
    <w:p w:rsidR="00064D54" w:rsidRPr="00064D54" w:rsidRDefault="00064D54" w:rsidP="00064D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064D54">
        <w:rPr>
          <w:rFonts w:ascii="Arial" w:eastAsia="Times New Roman" w:hAnsi="Arial" w:cs="Arial"/>
          <w:color w:val="222222"/>
          <w:sz w:val="24"/>
          <w:szCs w:val="24"/>
        </w:rPr>
        <w:t>​</w:t>
      </w:r>
    </w:p>
    <w:p w:rsidR="00064D54" w:rsidRPr="000B0C76" w:rsidRDefault="00064D54" w:rsidP="000B0C76">
      <w:pPr>
        <w:spacing w:before="60" w:after="60" w:line="276" w:lineRule="auto"/>
        <w:jc w:val="both"/>
        <w:rPr>
          <w:rFonts w:ascii="Arial" w:hAnsi="Arial" w:cs="Arial"/>
          <w:b/>
          <w:sz w:val="2"/>
          <w:szCs w:val="20"/>
        </w:rPr>
      </w:pPr>
    </w:p>
    <w:p w:rsidR="00B970F8" w:rsidRPr="00435290" w:rsidRDefault="00A25CF3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E4419">
        <w:rPr>
          <w:rFonts w:ascii="Arial" w:hAnsi="Arial" w:cs="Arial"/>
          <w:b/>
          <w:sz w:val="20"/>
          <w:szCs w:val="20"/>
        </w:rPr>
        <w:t xml:space="preserve">Article </w:t>
      </w:r>
      <w:r w:rsidR="00453774">
        <w:rPr>
          <w:rFonts w:ascii="Arial" w:hAnsi="Arial" w:cs="Arial"/>
          <w:b/>
          <w:sz w:val="20"/>
          <w:szCs w:val="20"/>
        </w:rPr>
        <w:t>1</w:t>
      </w:r>
      <w:r w:rsidR="00B970F8" w:rsidRPr="009E4419">
        <w:rPr>
          <w:rFonts w:ascii="Arial" w:hAnsi="Arial" w:cs="Arial"/>
          <w:b/>
          <w:sz w:val="20"/>
          <w:szCs w:val="20"/>
        </w:rPr>
        <w:t xml:space="preserve">: </w:t>
      </w:r>
      <w:r w:rsidR="00453774" w:rsidRPr="00435290">
        <w:rPr>
          <w:rFonts w:ascii="Arial" w:hAnsi="Arial" w:cs="Arial"/>
          <w:sz w:val="20"/>
          <w:szCs w:val="20"/>
        </w:rPr>
        <w:t>Approve Report No. 19/2017/BC-HDQT dated 10/04/2017 of Board of Directors on management, administration operation of the Company in 2016 and plan in 2017.</w:t>
      </w:r>
    </w:p>
    <w:p w:rsidR="00453774" w:rsidRDefault="00453774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2: </w:t>
      </w:r>
      <w:r w:rsidRPr="00435290">
        <w:rPr>
          <w:rFonts w:ascii="Arial" w:hAnsi="Arial" w:cs="Arial"/>
          <w:sz w:val="20"/>
          <w:szCs w:val="20"/>
        </w:rPr>
        <w:t xml:space="preserve">Approve Report No. 223/2017/BC-BDH dated 10/04/2017 of Executive Board on business </w:t>
      </w:r>
      <w:r w:rsidR="00B56011" w:rsidRPr="00435290">
        <w:rPr>
          <w:rFonts w:ascii="Arial" w:hAnsi="Arial" w:cs="Arial"/>
          <w:sz w:val="20"/>
          <w:szCs w:val="20"/>
        </w:rPr>
        <w:t>operation result in 2016 and business operation plan in 2017 with some main items as follows:</w:t>
      </w:r>
    </w:p>
    <w:p w:rsidR="00B56011" w:rsidRPr="009E4419" w:rsidRDefault="00B56011" w:rsidP="007B430B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 Business</w:t>
      </w:r>
      <w:r>
        <w:rPr>
          <w:rFonts w:ascii="Arial" w:hAnsi="Arial" w:cs="Arial"/>
          <w:b/>
          <w:sz w:val="20"/>
          <w:szCs w:val="20"/>
        </w:rPr>
        <w:t xml:space="preserve"> operation result in 2016</w:t>
      </w:r>
    </w:p>
    <w:p w:rsidR="00B970F8" w:rsidRPr="009E4419" w:rsidRDefault="00B970F8" w:rsidP="007B430B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520"/>
        <w:gridCol w:w="1892"/>
        <w:gridCol w:w="1258"/>
        <w:gridCol w:w="1635"/>
        <w:gridCol w:w="1785"/>
      </w:tblGrid>
      <w:tr w:rsidR="00B0553A" w:rsidRPr="009E4419" w:rsidTr="00535B0F">
        <w:tc>
          <w:tcPr>
            <w:tcW w:w="630" w:type="dxa"/>
            <w:shd w:val="clear" w:color="auto" w:fill="auto"/>
          </w:tcPr>
          <w:p w:rsidR="001509AF" w:rsidRPr="009E4419" w:rsidRDefault="001509AF" w:rsidP="005474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520" w:type="dxa"/>
            <w:shd w:val="clear" w:color="auto" w:fill="auto"/>
          </w:tcPr>
          <w:p w:rsidR="001509AF" w:rsidRPr="009E4419" w:rsidRDefault="001509AF" w:rsidP="005474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892" w:type="dxa"/>
            <w:shd w:val="clear" w:color="auto" w:fill="auto"/>
          </w:tcPr>
          <w:p w:rsidR="001509AF" w:rsidRPr="009E4419" w:rsidRDefault="001509AF" w:rsidP="00535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258" w:type="dxa"/>
            <w:shd w:val="clear" w:color="auto" w:fill="auto"/>
          </w:tcPr>
          <w:p w:rsidR="001509AF" w:rsidRPr="009E4419" w:rsidRDefault="001509AF" w:rsidP="00535B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 in 2016</w:t>
            </w:r>
          </w:p>
        </w:tc>
        <w:tc>
          <w:tcPr>
            <w:tcW w:w="1635" w:type="dxa"/>
            <w:shd w:val="clear" w:color="auto" w:fill="auto"/>
          </w:tcPr>
          <w:p w:rsidR="001509AF" w:rsidRPr="009E4419" w:rsidRDefault="001509AF" w:rsidP="005474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419">
              <w:rPr>
                <w:rFonts w:ascii="Arial" w:hAnsi="Arial" w:cs="Arial"/>
                <w:b/>
                <w:sz w:val="20"/>
                <w:szCs w:val="20"/>
              </w:rPr>
              <w:t>Performance in 2016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(according to audited financial statement)</w:t>
            </w:r>
          </w:p>
        </w:tc>
        <w:tc>
          <w:tcPr>
            <w:tcW w:w="1785" w:type="dxa"/>
            <w:shd w:val="clear" w:color="auto" w:fill="auto"/>
          </w:tcPr>
          <w:p w:rsidR="001509AF" w:rsidRPr="009E4419" w:rsidRDefault="00B0553A" w:rsidP="005474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Achievement ratio</w:t>
            </w:r>
          </w:p>
        </w:tc>
      </w:tr>
      <w:tr w:rsidR="00B0553A" w:rsidRPr="009E4419" w:rsidTr="00535B0F">
        <w:tc>
          <w:tcPr>
            <w:tcW w:w="630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1509AF" w:rsidRPr="0054747E" w:rsidRDefault="0054747E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47E">
              <w:rPr>
                <w:rFonts w:ascii="Arial" w:hAnsi="Arial" w:cs="Arial"/>
                <w:sz w:val="20"/>
                <w:szCs w:val="20"/>
              </w:rPr>
              <w:t>Business operation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value</w:t>
            </w:r>
          </w:p>
        </w:tc>
        <w:tc>
          <w:tcPr>
            <w:tcW w:w="1892" w:type="dxa"/>
            <w:shd w:val="clear" w:color="auto" w:fill="auto"/>
          </w:tcPr>
          <w:p w:rsidR="001509AF" w:rsidRPr="009E4419" w:rsidRDefault="00B0553A" w:rsidP="00535B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Billion Dong</w:t>
            </w:r>
          </w:p>
        </w:tc>
        <w:tc>
          <w:tcPr>
            <w:tcW w:w="1258" w:type="dxa"/>
            <w:shd w:val="clear" w:color="auto" w:fill="auto"/>
          </w:tcPr>
          <w:p w:rsidR="001509AF" w:rsidRPr="009E4419" w:rsidRDefault="00535B0F" w:rsidP="00966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="00966F0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35" w:type="dxa"/>
            <w:shd w:val="clear" w:color="auto" w:fill="auto"/>
          </w:tcPr>
          <w:p w:rsidR="001509AF" w:rsidRPr="009E4419" w:rsidRDefault="00535B0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6F02">
              <w:rPr>
                <w:rFonts w:ascii="Arial" w:hAnsi="Arial" w:cs="Arial"/>
                <w:sz w:val="20"/>
                <w:szCs w:val="20"/>
              </w:rPr>
              <w:t>32.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106%</w:t>
            </w:r>
          </w:p>
        </w:tc>
      </w:tr>
      <w:tr w:rsidR="00B0553A" w:rsidRPr="009E4419" w:rsidTr="00535B0F">
        <w:tc>
          <w:tcPr>
            <w:tcW w:w="630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1509AF" w:rsidRPr="009E4419" w:rsidRDefault="0054747E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revenue</w:t>
            </w:r>
          </w:p>
        </w:tc>
        <w:tc>
          <w:tcPr>
            <w:tcW w:w="1892" w:type="dxa"/>
            <w:shd w:val="clear" w:color="auto" w:fill="auto"/>
          </w:tcPr>
          <w:p w:rsidR="001509AF" w:rsidRDefault="00B0553A" w:rsidP="00535B0F">
            <w:pPr>
              <w:jc w:val="center"/>
            </w:pPr>
            <w:r>
              <w:t>-</w:t>
            </w:r>
          </w:p>
        </w:tc>
        <w:tc>
          <w:tcPr>
            <w:tcW w:w="1258" w:type="dxa"/>
            <w:shd w:val="clear" w:color="auto" w:fill="auto"/>
          </w:tcPr>
          <w:p w:rsidR="001509AF" w:rsidRDefault="00535B0F" w:rsidP="00966F02">
            <w:pPr>
              <w:jc w:val="center"/>
            </w:pPr>
            <w:r>
              <w:t>115</w:t>
            </w:r>
            <w:r w:rsidR="00966F02">
              <w:t>.</w:t>
            </w:r>
            <w:r>
              <w:t>0</w:t>
            </w:r>
          </w:p>
        </w:tc>
        <w:tc>
          <w:tcPr>
            <w:tcW w:w="1635" w:type="dxa"/>
            <w:shd w:val="clear" w:color="auto" w:fill="auto"/>
          </w:tcPr>
          <w:p w:rsidR="001509AF" w:rsidRPr="009E4419" w:rsidRDefault="00535B0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6F02">
              <w:rPr>
                <w:rFonts w:ascii="Arial" w:hAnsi="Arial" w:cs="Arial"/>
                <w:sz w:val="20"/>
                <w:szCs w:val="20"/>
              </w:rPr>
              <w:t>17.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102%</w:t>
            </w:r>
          </w:p>
        </w:tc>
      </w:tr>
      <w:tr w:rsidR="00B0553A" w:rsidRPr="009E4419" w:rsidTr="00535B0F">
        <w:tc>
          <w:tcPr>
            <w:tcW w:w="630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1509AF" w:rsidRPr="009E4419" w:rsidRDefault="0054747E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892" w:type="dxa"/>
            <w:shd w:val="clear" w:color="auto" w:fill="auto"/>
          </w:tcPr>
          <w:p w:rsidR="001509AF" w:rsidRDefault="00B0553A" w:rsidP="00535B0F">
            <w:pPr>
              <w:jc w:val="center"/>
            </w:pPr>
            <w:r>
              <w:t>-</w:t>
            </w:r>
          </w:p>
        </w:tc>
        <w:tc>
          <w:tcPr>
            <w:tcW w:w="1258" w:type="dxa"/>
            <w:shd w:val="clear" w:color="auto" w:fill="auto"/>
          </w:tcPr>
          <w:p w:rsidR="001509AF" w:rsidRDefault="00535B0F" w:rsidP="00966F02">
            <w:pPr>
              <w:jc w:val="center"/>
            </w:pPr>
            <w:r>
              <w:t>5</w:t>
            </w:r>
            <w:r w:rsidR="00966F02">
              <w:t>.</w:t>
            </w:r>
            <w:r>
              <w:t>0</w:t>
            </w:r>
          </w:p>
        </w:tc>
        <w:tc>
          <w:tcPr>
            <w:tcW w:w="163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5.002</w:t>
            </w:r>
          </w:p>
        </w:tc>
        <w:tc>
          <w:tcPr>
            <w:tcW w:w="178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0553A" w:rsidRPr="009E4419" w:rsidTr="00535B0F">
        <w:tc>
          <w:tcPr>
            <w:tcW w:w="630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1509AF" w:rsidRPr="009E4419" w:rsidRDefault="0054747E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cost</w:t>
            </w:r>
          </w:p>
        </w:tc>
        <w:tc>
          <w:tcPr>
            <w:tcW w:w="1892" w:type="dxa"/>
            <w:shd w:val="clear" w:color="auto" w:fill="auto"/>
          </w:tcPr>
          <w:p w:rsidR="001509AF" w:rsidRDefault="00B0553A" w:rsidP="00535B0F">
            <w:pPr>
              <w:jc w:val="center"/>
            </w:pPr>
            <w:r>
              <w:t>-</w:t>
            </w:r>
          </w:p>
        </w:tc>
        <w:tc>
          <w:tcPr>
            <w:tcW w:w="1258" w:type="dxa"/>
            <w:shd w:val="clear" w:color="auto" w:fill="auto"/>
          </w:tcPr>
          <w:p w:rsidR="001509AF" w:rsidRDefault="00535B0F" w:rsidP="00966F02">
            <w:pPr>
              <w:jc w:val="center"/>
            </w:pPr>
            <w:r>
              <w:t>12</w:t>
            </w:r>
            <w:r w:rsidR="00966F02">
              <w:t>.</w:t>
            </w:r>
            <w:r>
              <w:t>5</w:t>
            </w:r>
          </w:p>
        </w:tc>
        <w:tc>
          <w:tcPr>
            <w:tcW w:w="163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15.677</w:t>
            </w:r>
          </w:p>
        </w:tc>
        <w:tc>
          <w:tcPr>
            <w:tcW w:w="178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B0553A" w:rsidRPr="009E4419" w:rsidTr="00535B0F">
        <w:tc>
          <w:tcPr>
            <w:tcW w:w="630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1509AF" w:rsidRPr="009E4419" w:rsidRDefault="0054747E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payment ratio</w:t>
            </w:r>
          </w:p>
        </w:tc>
        <w:tc>
          <w:tcPr>
            <w:tcW w:w="1892" w:type="dxa"/>
            <w:shd w:val="clear" w:color="auto" w:fill="auto"/>
          </w:tcPr>
          <w:p w:rsidR="001509AF" w:rsidRDefault="00B0553A" w:rsidP="00535B0F">
            <w:pPr>
              <w:jc w:val="center"/>
            </w:pPr>
            <w:r>
              <w:t>%</w:t>
            </w:r>
          </w:p>
        </w:tc>
        <w:tc>
          <w:tcPr>
            <w:tcW w:w="1258" w:type="dxa"/>
            <w:shd w:val="clear" w:color="auto" w:fill="auto"/>
          </w:tcPr>
          <w:p w:rsidR="001509AF" w:rsidRDefault="00535B0F" w:rsidP="00535B0F">
            <w:pPr>
              <w:jc w:val="center"/>
            </w:pPr>
            <w:r>
              <w:t>65% Profit after tax</w:t>
            </w:r>
          </w:p>
        </w:tc>
        <w:tc>
          <w:tcPr>
            <w:tcW w:w="1635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53A" w:rsidRPr="009E4419" w:rsidTr="00535B0F">
        <w:tc>
          <w:tcPr>
            <w:tcW w:w="630" w:type="dxa"/>
            <w:shd w:val="clear" w:color="auto" w:fill="auto"/>
          </w:tcPr>
          <w:p w:rsidR="001509AF" w:rsidRPr="009E4419" w:rsidRDefault="001509AF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4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1509AF" w:rsidRPr="009E4419" w:rsidRDefault="0054747E" w:rsidP="0054747E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wage</w:t>
            </w:r>
          </w:p>
        </w:tc>
        <w:tc>
          <w:tcPr>
            <w:tcW w:w="1892" w:type="dxa"/>
            <w:shd w:val="clear" w:color="auto" w:fill="auto"/>
          </w:tcPr>
          <w:p w:rsidR="001509AF" w:rsidRDefault="00B0553A" w:rsidP="00535B0F">
            <w:pPr>
              <w:jc w:val="center"/>
            </w:pPr>
            <w:r>
              <w:t>Mil/person/month</w:t>
            </w:r>
          </w:p>
        </w:tc>
        <w:tc>
          <w:tcPr>
            <w:tcW w:w="1258" w:type="dxa"/>
            <w:shd w:val="clear" w:color="auto" w:fill="auto"/>
          </w:tcPr>
          <w:p w:rsidR="001509AF" w:rsidRPr="00CD2E39" w:rsidRDefault="00535B0F" w:rsidP="00966F02">
            <w:pPr>
              <w:jc w:val="center"/>
            </w:pPr>
            <w:bookmarkStart w:id="0" w:name="_GoBack"/>
            <w:r w:rsidRPr="00CD2E39">
              <w:t>6</w:t>
            </w:r>
            <w:r w:rsidR="00966F02" w:rsidRPr="00CD2E39">
              <w:t>.</w:t>
            </w:r>
            <w:r w:rsidRPr="00CD2E39">
              <w:t>0</w:t>
            </w:r>
            <w:bookmarkEnd w:id="0"/>
          </w:p>
        </w:tc>
        <w:tc>
          <w:tcPr>
            <w:tcW w:w="163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1785" w:type="dxa"/>
            <w:shd w:val="clear" w:color="auto" w:fill="auto"/>
          </w:tcPr>
          <w:p w:rsidR="001509AF" w:rsidRPr="009E4419" w:rsidRDefault="00966F02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103%</w:t>
            </w:r>
          </w:p>
        </w:tc>
      </w:tr>
      <w:tr w:rsidR="00B0553A" w:rsidRPr="009E4419" w:rsidTr="00535B0F">
        <w:tc>
          <w:tcPr>
            <w:tcW w:w="630" w:type="dxa"/>
            <w:shd w:val="clear" w:color="auto" w:fill="auto"/>
          </w:tcPr>
          <w:p w:rsidR="0054747E" w:rsidRPr="009E4419" w:rsidRDefault="0054747E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4747E" w:rsidRDefault="0054747E" w:rsidP="00A25CF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auto"/>
          </w:tcPr>
          <w:p w:rsidR="0054747E" w:rsidRDefault="0054747E" w:rsidP="00535B0F">
            <w:pPr>
              <w:jc w:val="center"/>
            </w:pPr>
          </w:p>
        </w:tc>
        <w:tc>
          <w:tcPr>
            <w:tcW w:w="1258" w:type="dxa"/>
            <w:shd w:val="clear" w:color="auto" w:fill="auto"/>
          </w:tcPr>
          <w:p w:rsidR="0054747E" w:rsidRDefault="0054747E" w:rsidP="00535B0F">
            <w:pPr>
              <w:jc w:val="center"/>
            </w:pPr>
          </w:p>
        </w:tc>
        <w:tc>
          <w:tcPr>
            <w:tcW w:w="1635" w:type="dxa"/>
            <w:shd w:val="clear" w:color="auto" w:fill="auto"/>
          </w:tcPr>
          <w:p w:rsidR="0054747E" w:rsidRPr="009E4419" w:rsidRDefault="0054747E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54747E" w:rsidRPr="009E4419" w:rsidRDefault="0054747E" w:rsidP="00A21C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6F02" w:rsidRPr="009E4419" w:rsidRDefault="00966F02" w:rsidP="00966F02">
      <w:pPr>
        <w:spacing w:before="60" w:after="60" w:line="276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Business operation </w:t>
      </w:r>
      <w:r>
        <w:rPr>
          <w:rFonts w:ascii="Arial" w:hAnsi="Arial" w:cs="Arial"/>
          <w:b/>
          <w:sz w:val="20"/>
          <w:szCs w:val="20"/>
        </w:rPr>
        <w:t>plan in 2017</w:t>
      </w:r>
    </w:p>
    <w:p w:rsidR="008D730F" w:rsidRDefault="008D730F" w:rsidP="008D730F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4747E">
        <w:rPr>
          <w:rFonts w:ascii="Arial" w:hAnsi="Arial" w:cs="Arial"/>
          <w:sz w:val="20"/>
          <w:szCs w:val="20"/>
        </w:rPr>
        <w:t>Business operation</w:t>
      </w:r>
      <w:r>
        <w:rPr>
          <w:rFonts w:ascii="Arial" w:hAnsi="Arial" w:cs="Arial"/>
          <w:sz w:val="20"/>
          <w:szCs w:val="20"/>
        </w:rPr>
        <w:t xml:space="preserve"> value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:  VND 125,000,000,000</w:t>
      </w:r>
    </w:p>
    <w:p w:rsidR="008D730F" w:rsidRDefault="008D730F" w:rsidP="008D730F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Revenue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 VND </w:t>
      </w:r>
      <w:r w:rsidR="00386DF1">
        <w:rPr>
          <w:rFonts w:ascii="Arial" w:hAnsi="Arial" w:cs="Arial"/>
          <w:sz w:val="20"/>
          <w:szCs w:val="20"/>
        </w:rPr>
        <w:t>115,000,000,000</w:t>
      </w:r>
    </w:p>
    <w:p w:rsidR="00386DF1" w:rsidRDefault="00386DF1" w:rsidP="008D730F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Profit before tax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VND     5,000,000,000</w:t>
      </w:r>
    </w:p>
    <w:p w:rsidR="00386DF1" w:rsidRDefault="00386DF1" w:rsidP="008D730F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Tax cost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VND   12,500,000,000</w:t>
      </w:r>
    </w:p>
    <w:p w:rsidR="00386DF1" w:rsidRDefault="00386DF1" w:rsidP="008D730F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</w:t>
      </w:r>
      <w:r w:rsidRPr="00386DF1">
        <w:rPr>
          <w:rFonts w:ascii="Arial" w:hAnsi="Arial" w:cs="Arial"/>
          <w:sz w:val="20"/>
          <w:szCs w:val="20"/>
        </w:rPr>
        <w:t>rofit margin</w:t>
      </w:r>
      <w:r w:rsidR="00A336F7">
        <w:rPr>
          <w:rFonts w:ascii="Arial" w:hAnsi="Arial" w:cs="Arial"/>
          <w:sz w:val="20"/>
          <w:szCs w:val="20"/>
        </w:rPr>
        <w:t xml:space="preserve"> </w:t>
      </w:r>
      <w:r w:rsidR="00A336F7">
        <w:rPr>
          <w:rFonts w:ascii="Arial" w:hAnsi="Arial" w:cs="Arial"/>
          <w:sz w:val="20"/>
          <w:szCs w:val="20"/>
        </w:rPr>
        <w:tab/>
      </w:r>
      <w:r w:rsidR="00A336F7">
        <w:rPr>
          <w:rFonts w:ascii="Arial" w:hAnsi="Arial" w:cs="Arial"/>
          <w:sz w:val="20"/>
          <w:szCs w:val="20"/>
        </w:rPr>
        <w:tab/>
      </w:r>
      <w:r w:rsidR="00A336F7">
        <w:rPr>
          <w:rFonts w:ascii="Arial" w:hAnsi="Arial" w:cs="Arial"/>
          <w:sz w:val="20"/>
          <w:szCs w:val="20"/>
        </w:rPr>
        <w:tab/>
        <w:t>:  9.01 %</w:t>
      </w:r>
    </w:p>
    <w:p w:rsidR="00A336F7" w:rsidRDefault="00A336F7" w:rsidP="00A336F7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A336F7">
        <w:rPr>
          <w:rFonts w:ascii="Arial" w:hAnsi="Arial" w:cs="Arial"/>
          <w:b/>
          <w:sz w:val="20"/>
          <w:szCs w:val="20"/>
        </w:rPr>
        <w:t>Article 3:</w:t>
      </w:r>
      <w:r>
        <w:rPr>
          <w:rFonts w:ascii="Arial" w:hAnsi="Arial" w:cs="Arial"/>
          <w:sz w:val="20"/>
          <w:szCs w:val="20"/>
        </w:rPr>
        <w:t xml:space="preserve"> Approve the 2016 audited financial statement according to Proposal No. 15/2017/</w:t>
      </w:r>
      <w:proofErr w:type="spellStart"/>
      <w:r>
        <w:rPr>
          <w:rFonts w:ascii="Arial" w:hAnsi="Arial" w:cs="Arial"/>
          <w:sz w:val="20"/>
          <w:szCs w:val="20"/>
        </w:rPr>
        <w:t>Ttr</w:t>
      </w:r>
      <w:proofErr w:type="spellEnd"/>
      <w:r>
        <w:rPr>
          <w:rFonts w:ascii="Arial" w:hAnsi="Arial" w:cs="Arial"/>
          <w:sz w:val="20"/>
          <w:szCs w:val="20"/>
        </w:rPr>
        <w:t>-HDQT dated 10/04/2017 of Board of Directors.</w:t>
      </w:r>
    </w:p>
    <w:p w:rsidR="00A336F7" w:rsidRDefault="00A336F7" w:rsidP="00A336F7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b/>
          <w:sz w:val="20"/>
          <w:szCs w:val="20"/>
        </w:rPr>
        <w:t>Article 4:</w:t>
      </w:r>
      <w:r>
        <w:rPr>
          <w:rFonts w:ascii="Arial" w:hAnsi="Arial" w:cs="Arial"/>
          <w:sz w:val="20"/>
          <w:szCs w:val="20"/>
        </w:rPr>
        <w:t xml:space="preserve"> Approve report no. 224/KSXD/KSV dated 10/04/2017 on supervision result </w:t>
      </w:r>
      <w:r w:rsidR="00DB6B87">
        <w:rPr>
          <w:rFonts w:ascii="Arial" w:hAnsi="Arial" w:cs="Arial"/>
          <w:sz w:val="20"/>
          <w:szCs w:val="20"/>
        </w:rPr>
        <w:t>in 2016 of Board of Supervisors.</w:t>
      </w:r>
    </w:p>
    <w:p w:rsidR="00DB6B87" w:rsidRDefault="00DB6B87" w:rsidP="00A336F7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5: Approve Proposal no. 16/2017/</w:t>
      </w:r>
      <w:proofErr w:type="spellStart"/>
      <w:r>
        <w:rPr>
          <w:rFonts w:ascii="Arial" w:hAnsi="Arial" w:cs="Arial"/>
          <w:sz w:val="20"/>
          <w:szCs w:val="20"/>
        </w:rPr>
        <w:t>Ttr</w:t>
      </w:r>
      <w:proofErr w:type="spellEnd"/>
      <w:r>
        <w:rPr>
          <w:rFonts w:ascii="Arial" w:hAnsi="Arial" w:cs="Arial"/>
          <w:sz w:val="20"/>
          <w:szCs w:val="20"/>
        </w:rPr>
        <w:t xml:space="preserve">-HDQT dated 10/04/2017 of Board of Directors on profit distribution plan in 2016 and </w:t>
      </w:r>
      <w:r w:rsidR="00922275">
        <w:rPr>
          <w:rFonts w:ascii="Arial" w:hAnsi="Arial" w:cs="Arial"/>
          <w:sz w:val="20"/>
          <w:szCs w:val="20"/>
        </w:rPr>
        <w:t>2017, in particular:</w:t>
      </w:r>
    </w:p>
    <w:p w:rsidR="00922275" w:rsidRDefault="00922275" w:rsidP="00922275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distribution plan in 2016 shall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236"/>
        <w:gridCol w:w="3021"/>
      </w:tblGrid>
      <w:tr w:rsidR="00922275" w:rsidTr="00922275">
        <w:tc>
          <w:tcPr>
            <w:tcW w:w="805" w:type="dxa"/>
          </w:tcPr>
          <w:p w:rsidR="00922275" w:rsidRPr="00884269" w:rsidRDefault="00922275" w:rsidP="008842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269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236" w:type="dxa"/>
          </w:tcPr>
          <w:p w:rsidR="00922275" w:rsidRPr="00884269" w:rsidRDefault="00884269" w:rsidP="008842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269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021" w:type="dxa"/>
          </w:tcPr>
          <w:p w:rsidR="00922275" w:rsidRPr="00884269" w:rsidRDefault="00884269" w:rsidP="008842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269">
              <w:rPr>
                <w:rFonts w:ascii="Arial" w:hAnsi="Arial" w:cs="Arial"/>
                <w:b/>
                <w:sz w:val="20"/>
                <w:szCs w:val="20"/>
              </w:rPr>
              <w:t>Deduction as stated in proposal (VND)</w:t>
            </w:r>
          </w:p>
        </w:tc>
      </w:tr>
      <w:tr w:rsidR="00922275" w:rsidTr="00525AEF">
        <w:tc>
          <w:tcPr>
            <w:tcW w:w="6041" w:type="dxa"/>
            <w:gridSpan w:val="2"/>
          </w:tcPr>
          <w:p w:rsidR="00922275" w:rsidRDefault="00354FFF" w:rsidP="0092227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Profit after tax before distributed</w:t>
            </w:r>
          </w:p>
        </w:tc>
        <w:tc>
          <w:tcPr>
            <w:tcW w:w="3021" w:type="dxa"/>
          </w:tcPr>
          <w:p w:rsidR="00922275" w:rsidRDefault="003742B9" w:rsidP="003742B9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3,922,389,887</w:t>
            </w:r>
          </w:p>
        </w:tc>
      </w:tr>
      <w:tr w:rsidR="00922275" w:rsidTr="008A6125">
        <w:tc>
          <w:tcPr>
            <w:tcW w:w="6041" w:type="dxa"/>
            <w:gridSpan w:val="2"/>
          </w:tcPr>
          <w:p w:rsidR="00922275" w:rsidRDefault="00354FFF" w:rsidP="0092227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Provision:</w:t>
            </w:r>
          </w:p>
        </w:tc>
        <w:tc>
          <w:tcPr>
            <w:tcW w:w="3021" w:type="dxa"/>
          </w:tcPr>
          <w:p w:rsidR="00922275" w:rsidRDefault="00922275" w:rsidP="003742B9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75" w:rsidTr="00922275">
        <w:tc>
          <w:tcPr>
            <w:tcW w:w="805" w:type="dxa"/>
          </w:tcPr>
          <w:p w:rsidR="00922275" w:rsidRDefault="00354FFF" w:rsidP="00354FFF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36" w:type="dxa"/>
          </w:tcPr>
          <w:p w:rsidR="00922275" w:rsidRDefault="00354FFF" w:rsidP="003742B9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Bonus,</w:t>
            </w:r>
            <w:r w:rsidR="003742B9">
              <w:rPr>
                <w:rFonts w:ascii="Arial" w:hAnsi="Arial" w:cs="Arial"/>
                <w:sz w:val="20"/>
                <w:szCs w:val="20"/>
              </w:rPr>
              <w:t xml:space="preserve"> welfare fund</w:t>
            </w:r>
          </w:p>
        </w:tc>
        <w:tc>
          <w:tcPr>
            <w:tcW w:w="3021" w:type="dxa"/>
          </w:tcPr>
          <w:p w:rsidR="00922275" w:rsidRDefault="003742B9" w:rsidP="003742B9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804,039,887</w:t>
            </w:r>
          </w:p>
        </w:tc>
      </w:tr>
      <w:tr w:rsidR="00922275" w:rsidTr="00922275">
        <w:tc>
          <w:tcPr>
            <w:tcW w:w="805" w:type="dxa"/>
          </w:tcPr>
          <w:p w:rsidR="00922275" w:rsidRDefault="00354FFF" w:rsidP="00354FFF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36" w:type="dxa"/>
          </w:tcPr>
          <w:p w:rsidR="00922275" w:rsidRDefault="003742B9" w:rsidP="002637F4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Bonus fund for </w:t>
            </w:r>
            <w:r w:rsidR="002637F4">
              <w:rPr>
                <w:rFonts w:ascii="Arial" w:hAnsi="Arial" w:cs="Arial"/>
                <w:sz w:val="20"/>
                <w:szCs w:val="20"/>
              </w:rPr>
              <w:t>Management board</w:t>
            </w:r>
          </w:p>
        </w:tc>
        <w:tc>
          <w:tcPr>
            <w:tcW w:w="3021" w:type="dxa"/>
          </w:tcPr>
          <w:p w:rsidR="00922275" w:rsidRDefault="003742B9" w:rsidP="003742B9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196,120,000</w:t>
            </w:r>
          </w:p>
        </w:tc>
      </w:tr>
      <w:tr w:rsidR="00922275" w:rsidTr="00922275">
        <w:tc>
          <w:tcPr>
            <w:tcW w:w="805" w:type="dxa"/>
          </w:tcPr>
          <w:p w:rsidR="00922275" w:rsidRDefault="00354FFF" w:rsidP="00354FFF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36" w:type="dxa"/>
          </w:tcPr>
          <w:p w:rsidR="00922275" w:rsidRDefault="003742B9" w:rsidP="0092227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Investment and Development fund</w:t>
            </w:r>
          </w:p>
        </w:tc>
        <w:tc>
          <w:tcPr>
            <w:tcW w:w="3021" w:type="dxa"/>
          </w:tcPr>
          <w:p w:rsidR="00922275" w:rsidRDefault="003742B9" w:rsidP="003742B9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392,230,000</w:t>
            </w:r>
          </w:p>
        </w:tc>
      </w:tr>
      <w:tr w:rsidR="00922275" w:rsidTr="00922275">
        <w:tc>
          <w:tcPr>
            <w:tcW w:w="805" w:type="dxa"/>
          </w:tcPr>
          <w:p w:rsidR="00922275" w:rsidRDefault="00354FFF" w:rsidP="00354FFF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236" w:type="dxa"/>
          </w:tcPr>
          <w:p w:rsidR="00922275" w:rsidRDefault="003742B9" w:rsidP="00922275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payment in 2016</w:t>
            </w:r>
          </w:p>
        </w:tc>
        <w:tc>
          <w:tcPr>
            <w:tcW w:w="3021" w:type="dxa"/>
          </w:tcPr>
          <w:p w:rsidR="00922275" w:rsidRDefault="003742B9" w:rsidP="003742B9">
            <w:pPr>
              <w:spacing w:before="60" w:after="6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2,530,000,000</w:t>
            </w:r>
          </w:p>
        </w:tc>
      </w:tr>
    </w:tbl>
    <w:p w:rsidR="001C6FB5" w:rsidRDefault="001C6FB5" w:rsidP="001C6FB5">
      <w:pPr>
        <w:pStyle w:val="ListParagraph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8D730F" w:rsidRDefault="001C6FB5" w:rsidP="003742B9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distribution plan in 2017:</w:t>
      </w:r>
    </w:p>
    <w:p w:rsidR="001C6FB5" w:rsidRDefault="001C6FB5" w:rsidP="001C6FB5">
      <w:pPr>
        <w:pStyle w:val="ListParagraph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Dividend payment ratio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65 % (equivalent to 4.6% dividend)</w:t>
      </w:r>
    </w:p>
    <w:p w:rsidR="001C6FB5" w:rsidRDefault="001C6FB5" w:rsidP="001C6FB5">
      <w:pPr>
        <w:pStyle w:val="ListParagraph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>
        <w:rPr>
          <w:rFonts w:ascii="Arial" w:hAnsi="Arial" w:cs="Arial"/>
          <w:sz w:val="20"/>
          <w:szCs w:val="20"/>
        </w:rPr>
        <w:t>Investment and Development fund</w:t>
      </w:r>
      <w:r>
        <w:rPr>
          <w:rFonts w:ascii="Arial" w:hAnsi="Arial" w:cs="Arial"/>
          <w:sz w:val="20"/>
          <w:szCs w:val="20"/>
        </w:rPr>
        <w:tab/>
        <w:t>: 10 %</w:t>
      </w:r>
    </w:p>
    <w:p w:rsidR="001C6FB5" w:rsidRDefault="001C6FB5" w:rsidP="001C6FB5">
      <w:pPr>
        <w:pStyle w:val="ListParagraph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>
        <w:rPr>
          <w:rFonts w:ascii="Arial" w:hAnsi="Arial" w:cs="Arial"/>
          <w:sz w:val="20"/>
          <w:szCs w:val="20"/>
        </w:rPr>
        <w:t>Bonus, welfare fund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20 %</w:t>
      </w:r>
    </w:p>
    <w:p w:rsidR="002637F4" w:rsidRDefault="001C6FB5" w:rsidP="002637F4">
      <w:pPr>
        <w:pStyle w:val="ListParagraph"/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>
        <w:rPr>
          <w:rFonts w:ascii="Arial" w:hAnsi="Arial" w:cs="Arial"/>
          <w:sz w:val="20"/>
          <w:szCs w:val="20"/>
        </w:rPr>
        <w:t xml:space="preserve">Bonus fund for </w:t>
      </w:r>
      <w:r w:rsidR="002637F4">
        <w:rPr>
          <w:rFonts w:ascii="Arial" w:hAnsi="Arial" w:cs="Arial"/>
          <w:sz w:val="20"/>
          <w:szCs w:val="20"/>
        </w:rPr>
        <w:t>Management board</w:t>
      </w:r>
      <w:r w:rsidR="002637F4" w:rsidRPr="009E4419">
        <w:rPr>
          <w:rFonts w:ascii="Arial" w:hAnsi="Arial" w:cs="Arial"/>
          <w:sz w:val="20"/>
          <w:szCs w:val="20"/>
        </w:rPr>
        <w:t xml:space="preserve"> </w:t>
      </w:r>
      <w:r w:rsidR="002637F4">
        <w:rPr>
          <w:rFonts w:ascii="Arial" w:hAnsi="Arial" w:cs="Arial"/>
          <w:sz w:val="20"/>
          <w:szCs w:val="20"/>
        </w:rPr>
        <w:tab/>
        <w:t>:   5 %</w:t>
      </w:r>
    </w:p>
    <w:p w:rsidR="002637F4" w:rsidRDefault="002637F4" w:rsidP="00EC4A4E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637F4">
        <w:rPr>
          <w:rFonts w:ascii="Arial" w:hAnsi="Arial" w:cs="Arial"/>
          <w:b/>
          <w:sz w:val="20"/>
          <w:szCs w:val="20"/>
        </w:rPr>
        <w:t>Article 6:</w:t>
      </w:r>
      <w:r>
        <w:rPr>
          <w:rFonts w:ascii="Arial" w:hAnsi="Arial" w:cs="Arial"/>
          <w:sz w:val="20"/>
          <w:szCs w:val="20"/>
        </w:rPr>
        <w:t xml:space="preserve"> Approve Proposal no. 17/2017/</w:t>
      </w:r>
      <w:proofErr w:type="spellStart"/>
      <w:r>
        <w:rPr>
          <w:rFonts w:ascii="Arial" w:hAnsi="Arial" w:cs="Arial"/>
          <w:sz w:val="20"/>
          <w:szCs w:val="20"/>
        </w:rPr>
        <w:t>Ttr</w:t>
      </w:r>
      <w:proofErr w:type="spellEnd"/>
      <w:r>
        <w:rPr>
          <w:rFonts w:ascii="Arial" w:hAnsi="Arial" w:cs="Arial"/>
          <w:sz w:val="20"/>
          <w:szCs w:val="20"/>
        </w:rPr>
        <w:t>-HDQT dated 10/04/2017 of Board of Directors on remuneration for Board of Directors, Board of Supervisors in 2017, in particular: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410"/>
        <w:gridCol w:w="2340"/>
        <w:gridCol w:w="1597"/>
      </w:tblGrid>
      <w:tr w:rsidR="00841F5D" w:rsidTr="002B7B38">
        <w:tc>
          <w:tcPr>
            <w:tcW w:w="715" w:type="dxa"/>
          </w:tcPr>
          <w:p w:rsidR="00841F5D" w:rsidRPr="00841F5D" w:rsidRDefault="00841F5D" w:rsidP="00E41E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5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410" w:type="dxa"/>
          </w:tcPr>
          <w:p w:rsidR="00841F5D" w:rsidRPr="00841F5D" w:rsidRDefault="00841F5D" w:rsidP="00E41E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5D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340" w:type="dxa"/>
          </w:tcPr>
          <w:p w:rsidR="00841F5D" w:rsidRPr="00841F5D" w:rsidRDefault="00841F5D" w:rsidP="00E41E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5D">
              <w:rPr>
                <w:rFonts w:ascii="Arial" w:hAnsi="Arial" w:cs="Arial"/>
                <w:b/>
                <w:sz w:val="20"/>
                <w:szCs w:val="20"/>
              </w:rPr>
              <w:t>Remuneration</w:t>
            </w:r>
          </w:p>
          <w:p w:rsidR="00841F5D" w:rsidRDefault="00841F5D" w:rsidP="00E41EA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(VND/person/month)</w:t>
            </w:r>
          </w:p>
        </w:tc>
        <w:tc>
          <w:tcPr>
            <w:tcW w:w="1597" w:type="dxa"/>
          </w:tcPr>
          <w:p w:rsidR="00841F5D" w:rsidRPr="00841F5D" w:rsidRDefault="00841F5D" w:rsidP="00E41E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1F5D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41F5D" w:rsidTr="002B7B38">
        <w:tc>
          <w:tcPr>
            <w:tcW w:w="715" w:type="dxa"/>
          </w:tcPr>
          <w:p w:rsidR="00841F5D" w:rsidRPr="00841F5D" w:rsidRDefault="00E41EA7" w:rsidP="00E41E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410" w:type="dxa"/>
          </w:tcPr>
          <w:p w:rsidR="00841F5D" w:rsidRPr="00841F5D" w:rsidRDefault="00E41EA7" w:rsidP="00B6169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 of Directors</w:t>
            </w:r>
          </w:p>
        </w:tc>
        <w:tc>
          <w:tcPr>
            <w:tcW w:w="2340" w:type="dxa"/>
          </w:tcPr>
          <w:p w:rsidR="00841F5D" w:rsidRPr="00841F5D" w:rsidRDefault="00841F5D" w:rsidP="004C1E90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841F5D" w:rsidRPr="00841F5D" w:rsidRDefault="00841F5D" w:rsidP="00B6169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1F5D" w:rsidTr="002B7B38">
        <w:tc>
          <w:tcPr>
            <w:tcW w:w="715" w:type="dxa"/>
          </w:tcPr>
          <w:p w:rsidR="00841F5D" w:rsidRPr="00E41EA7" w:rsidRDefault="00E41EA7" w:rsidP="00E41EA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E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841F5D" w:rsidRPr="00E41EA7" w:rsidRDefault="00E41EA7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Chairman of Board of Director</w:t>
            </w:r>
            <w:r w:rsidR="005B3C0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340" w:type="dxa"/>
          </w:tcPr>
          <w:p w:rsidR="00841F5D" w:rsidRPr="00E41EA7" w:rsidRDefault="002B7B38" w:rsidP="004C1E9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27,000,000</w:t>
            </w:r>
          </w:p>
        </w:tc>
        <w:tc>
          <w:tcPr>
            <w:tcW w:w="1597" w:type="dxa"/>
          </w:tcPr>
          <w:p w:rsidR="00841F5D" w:rsidRPr="00E41EA7" w:rsidRDefault="00841F5D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5D" w:rsidTr="002B7B38">
        <w:tc>
          <w:tcPr>
            <w:tcW w:w="715" w:type="dxa"/>
          </w:tcPr>
          <w:p w:rsidR="00841F5D" w:rsidRPr="00E41EA7" w:rsidRDefault="005B3C04" w:rsidP="00E41EA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841F5D" w:rsidRPr="00E41EA7" w:rsidRDefault="005B3C04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cum General Director</w:t>
            </w:r>
          </w:p>
        </w:tc>
        <w:tc>
          <w:tcPr>
            <w:tcW w:w="2340" w:type="dxa"/>
          </w:tcPr>
          <w:p w:rsidR="00841F5D" w:rsidRPr="00E41EA7" w:rsidRDefault="002B7B38" w:rsidP="004C1E9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26,000,000</w:t>
            </w:r>
          </w:p>
        </w:tc>
        <w:tc>
          <w:tcPr>
            <w:tcW w:w="1597" w:type="dxa"/>
          </w:tcPr>
          <w:p w:rsidR="00841F5D" w:rsidRPr="00E41EA7" w:rsidRDefault="00841F5D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5D" w:rsidTr="002B7B38">
        <w:tc>
          <w:tcPr>
            <w:tcW w:w="715" w:type="dxa"/>
          </w:tcPr>
          <w:p w:rsidR="00841F5D" w:rsidRPr="00E41EA7" w:rsidRDefault="005B3C04" w:rsidP="00E41EA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0" w:type="dxa"/>
          </w:tcPr>
          <w:p w:rsidR="00841F5D" w:rsidRPr="00E41EA7" w:rsidRDefault="005B3C04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cum </w:t>
            </w:r>
            <w:r>
              <w:rPr>
                <w:rFonts w:ascii="Arial" w:hAnsi="Arial" w:cs="Arial"/>
                <w:sz w:val="20"/>
                <w:szCs w:val="20"/>
              </w:rPr>
              <w:t xml:space="preserve">Deputy </w:t>
            </w:r>
            <w:r>
              <w:rPr>
                <w:rFonts w:ascii="Arial" w:hAnsi="Arial" w:cs="Arial"/>
                <w:sz w:val="20"/>
                <w:szCs w:val="20"/>
              </w:rPr>
              <w:t>General Director</w:t>
            </w:r>
          </w:p>
        </w:tc>
        <w:tc>
          <w:tcPr>
            <w:tcW w:w="2340" w:type="dxa"/>
          </w:tcPr>
          <w:p w:rsidR="00841F5D" w:rsidRPr="00E41EA7" w:rsidRDefault="002B7B38" w:rsidP="004C1E9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23,000,000</w:t>
            </w:r>
          </w:p>
        </w:tc>
        <w:tc>
          <w:tcPr>
            <w:tcW w:w="1597" w:type="dxa"/>
          </w:tcPr>
          <w:p w:rsidR="00841F5D" w:rsidRPr="00E41EA7" w:rsidRDefault="00841F5D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B38" w:rsidTr="002B7B38">
        <w:tc>
          <w:tcPr>
            <w:tcW w:w="715" w:type="dxa"/>
          </w:tcPr>
          <w:p w:rsidR="002B7B38" w:rsidRDefault="002B7B38" w:rsidP="00E41EA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0" w:type="dxa"/>
          </w:tcPr>
          <w:p w:rsidR="002B7B38" w:rsidRDefault="002B7B38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Non-executive </w:t>
            </w:r>
            <w:r w:rsidR="004C1E90">
              <w:rPr>
                <w:rFonts w:ascii="Arial" w:hAnsi="Arial" w:cs="Arial"/>
                <w:sz w:val="20"/>
                <w:szCs w:val="20"/>
              </w:rPr>
              <w:t>Commissioner</w:t>
            </w:r>
          </w:p>
        </w:tc>
        <w:tc>
          <w:tcPr>
            <w:tcW w:w="2340" w:type="dxa"/>
          </w:tcPr>
          <w:p w:rsidR="002B7B38" w:rsidRDefault="004C1E90" w:rsidP="004C1E9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2,000,000</w:t>
            </w:r>
          </w:p>
        </w:tc>
        <w:tc>
          <w:tcPr>
            <w:tcW w:w="1597" w:type="dxa"/>
          </w:tcPr>
          <w:p w:rsidR="002B7B38" w:rsidRPr="00E41EA7" w:rsidRDefault="002B7B38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5D" w:rsidTr="002B7B38">
        <w:tc>
          <w:tcPr>
            <w:tcW w:w="715" w:type="dxa"/>
          </w:tcPr>
          <w:p w:rsidR="00841F5D" w:rsidRPr="005B3C04" w:rsidRDefault="005B3C04" w:rsidP="00E41E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C0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4410" w:type="dxa"/>
          </w:tcPr>
          <w:p w:rsidR="00841F5D" w:rsidRPr="005B3C04" w:rsidRDefault="005B3C04" w:rsidP="00B6169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3C04">
              <w:rPr>
                <w:rFonts w:ascii="Arial" w:hAnsi="Arial" w:cs="Arial"/>
                <w:b/>
                <w:sz w:val="20"/>
                <w:szCs w:val="20"/>
              </w:rPr>
              <w:t>Board of Supervisors</w:t>
            </w:r>
          </w:p>
        </w:tc>
        <w:tc>
          <w:tcPr>
            <w:tcW w:w="2340" w:type="dxa"/>
          </w:tcPr>
          <w:p w:rsidR="00841F5D" w:rsidRPr="00E41EA7" w:rsidRDefault="00841F5D" w:rsidP="004C1E9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:rsidR="00841F5D" w:rsidRPr="00E41EA7" w:rsidRDefault="00841F5D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5D" w:rsidTr="002B7B38">
        <w:tc>
          <w:tcPr>
            <w:tcW w:w="715" w:type="dxa"/>
          </w:tcPr>
          <w:p w:rsidR="00841F5D" w:rsidRPr="00E41EA7" w:rsidRDefault="005B3C04" w:rsidP="00E41EA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841F5D" w:rsidRPr="00E41EA7" w:rsidRDefault="002B7B38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</w:t>
            </w:r>
            <w:r w:rsidR="005B3C04">
              <w:rPr>
                <w:rFonts w:ascii="Arial" w:hAnsi="Arial" w:cs="Arial"/>
                <w:sz w:val="20"/>
                <w:szCs w:val="20"/>
              </w:rPr>
              <w:t>Head of Board of Supervisors</w:t>
            </w:r>
          </w:p>
        </w:tc>
        <w:tc>
          <w:tcPr>
            <w:tcW w:w="2340" w:type="dxa"/>
          </w:tcPr>
          <w:p w:rsidR="00841F5D" w:rsidRPr="00E41EA7" w:rsidRDefault="004C1E90" w:rsidP="004C1E9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23,000,000</w:t>
            </w:r>
          </w:p>
        </w:tc>
        <w:tc>
          <w:tcPr>
            <w:tcW w:w="1597" w:type="dxa"/>
          </w:tcPr>
          <w:p w:rsidR="00841F5D" w:rsidRPr="00E41EA7" w:rsidRDefault="00841F5D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C04" w:rsidTr="002B7B38">
        <w:tc>
          <w:tcPr>
            <w:tcW w:w="715" w:type="dxa"/>
          </w:tcPr>
          <w:p w:rsidR="005B3C04" w:rsidRPr="00E41EA7" w:rsidRDefault="005B3C04" w:rsidP="00E41EA7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0" w:type="dxa"/>
          </w:tcPr>
          <w:p w:rsidR="005B3C04" w:rsidRPr="00E41EA7" w:rsidRDefault="002B7B38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Non-executive member of </w:t>
            </w:r>
            <w:r>
              <w:rPr>
                <w:rFonts w:ascii="Arial" w:hAnsi="Arial" w:cs="Arial"/>
                <w:sz w:val="20"/>
                <w:szCs w:val="20"/>
              </w:rPr>
              <w:t>Board of Supervisors</w:t>
            </w:r>
          </w:p>
        </w:tc>
        <w:tc>
          <w:tcPr>
            <w:tcW w:w="2340" w:type="dxa"/>
          </w:tcPr>
          <w:p w:rsidR="005B3C04" w:rsidRPr="00E41EA7" w:rsidRDefault="004C1E90" w:rsidP="004C1E90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1,500,000</w:t>
            </w:r>
          </w:p>
        </w:tc>
        <w:tc>
          <w:tcPr>
            <w:tcW w:w="1597" w:type="dxa"/>
          </w:tcPr>
          <w:p w:rsidR="005B3C04" w:rsidRPr="00E41EA7" w:rsidRDefault="005B3C04" w:rsidP="00B6169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69F" w:rsidRDefault="004C1E90" w:rsidP="00EC4A4E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EC4A4E">
        <w:rPr>
          <w:rFonts w:ascii="Arial" w:hAnsi="Arial" w:cs="Arial"/>
          <w:b/>
          <w:sz w:val="20"/>
          <w:szCs w:val="20"/>
        </w:rPr>
        <w:t>Article 7:</w:t>
      </w:r>
      <w:r>
        <w:rPr>
          <w:rFonts w:ascii="Arial" w:hAnsi="Arial" w:cs="Arial"/>
          <w:sz w:val="20"/>
          <w:szCs w:val="20"/>
        </w:rPr>
        <w:t xml:space="preserve"> Approve Proposal no. 18/2017/</w:t>
      </w:r>
      <w:proofErr w:type="spellStart"/>
      <w:r>
        <w:rPr>
          <w:rFonts w:ascii="Arial" w:hAnsi="Arial" w:cs="Arial"/>
          <w:sz w:val="20"/>
          <w:szCs w:val="20"/>
        </w:rPr>
        <w:t>Ttr</w:t>
      </w:r>
      <w:proofErr w:type="spellEnd"/>
      <w:r>
        <w:rPr>
          <w:rFonts w:ascii="Arial" w:hAnsi="Arial" w:cs="Arial"/>
          <w:sz w:val="20"/>
          <w:szCs w:val="20"/>
        </w:rPr>
        <w:t>-HDQT dated 10/04/2017 of Board of Directors on select audit firm to audit 2017 financial statement</w:t>
      </w:r>
      <w:r w:rsidR="00EC4A4E">
        <w:rPr>
          <w:rFonts w:ascii="Arial" w:hAnsi="Arial" w:cs="Arial"/>
          <w:sz w:val="20"/>
          <w:szCs w:val="20"/>
        </w:rPr>
        <w:t>, in particular:</w:t>
      </w:r>
    </w:p>
    <w:p w:rsidR="00102047" w:rsidRDefault="00EC4A4E" w:rsidP="00B6169F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meeting of shareholders approve and authorize Board of Directors of </w:t>
      </w:r>
      <w:r w:rsidR="00102047" w:rsidRPr="00453774">
        <w:rPr>
          <w:rFonts w:ascii="Arial" w:hAnsi="Arial" w:cs="Arial"/>
          <w:sz w:val="20"/>
          <w:szCs w:val="20"/>
        </w:rPr>
        <w:t xml:space="preserve">Union of Survey </w:t>
      </w:r>
      <w:r w:rsidR="00102047">
        <w:rPr>
          <w:rFonts w:ascii="Arial" w:hAnsi="Arial" w:cs="Arial"/>
          <w:sz w:val="20"/>
          <w:szCs w:val="20"/>
        </w:rPr>
        <w:t>a</w:t>
      </w:r>
      <w:r w:rsidR="00102047" w:rsidRPr="00453774">
        <w:rPr>
          <w:rFonts w:ascii="Arial" w:hAnsi="Arial" w:cs="Arial"/>
          <w:sz w:val="20"/>
          <w:szCs w:val="20"/>
        </w:rPr>
        <w:t>nd Construction Joint Stock Company</w:t>
      </w:r>
      <w:r w:rsidR="00102047">
        <w:rPr>
          <w:rFonts w:ascii="Arial" w:hAnsi="Arial" w:cs="Arial"/>
          <w:sz w:val="20"/>
          <w:szCs w:val="20"/>
        </w:rPr>
        <w:t xml:space="preserve"> – USCO to select one of following audit firms stated under to audit 2017 financial statement under the Law:</w:t>
      </w:r>
    </w:p>
    <w:p w:rsidR="00EC4A4E" w:rsidRDefault="00102047" w:rsidP="0010204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5B224F" w:rsidRPr="005B224F">
        <w:rPr>
          <w:rFonts w:ascii="Arial" w:hAnsi="Arial" w:cs="Arial"/>
          <w:sz w:val="20"/>
          <w:szCs w:val="20"/>
        </w:rPr>
        <w:t>AASC Auditing Firm Company Limited</w:t>
      </w:r>
    </w:p>
    <w:p w:rsidR="005B224F" w:rsidRDefault="005B224F" w:rsidP="0010204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5B224F">
        <w:rPr>
          <w:rFonts w:ascii="Arial" w:hAnsi="Arial" w:cs="Arial"/>
          <w:sz w:val="20"/>
          <w:szCs w:val="20"/>
        </w:rPr>
        <w:t>Vietland</w:t>
      </w:r>
      <w:proofErr w:type="spellEnd"/>
      <w:r w:rsidRPr="005B224F">
        <w:rPr>
          <w:rFonts w:ascii="Arial" w:hAnsi="Arial" w:cs="Arial"/>
          <w:sz w:val="20"/>
          <w:szCs w:val="20"/>
        </w:rPr>
        <w:t xml:space="preserve"> Auditing </w:t>
      </w:r>
      <w:r w:rsidR="007A1948" w:rsidRPr="005B224F">
        <w:rPr>
          <w:rFonts w:ascii="Arial" w:hAnsi="Arial" w:cs="Arial"/>
          <w:sz w:val="20"/>
          <w:szCs w:val="20"/>
        </w:rPr>
        <w:t>and</w:t>
      </w:r>
      <w:r w:rsidRPr="005B224F">
        <w:rPr>
          <w:rFonts w:ascii="Arial" w:hAnsi="Arial" w:cs="Arial"/>
          <w:sz w:val="20"/>
          <w:szCs w:val="20"/>
        </w:rPr>
        <w:t xml:space="preserve"> Consulting Company Limited</w:t>
      </w:r>
    </w:p>
    <w:p w:rsidR="005B224F" w:rsidRDefault="005B224F" w:rsidP="00102047">
      <w:pPr>
        <w:spacing w:before="60" w:after="6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487A7A" w:rsidRPr="00487A7A">
        <w:rPr>
          <w:rFonts w:ascii="Arial" w:hAnsi="Arial" w:cs="Arial"/>
          <w:sz w:val="20"/>
          <w:szCs w:val="20"/>
        </w:rPr>
        <w:t>C</w:t>
      </w:r>
      <w:r w:rsidR="00487A7A">
        <w:rPr>
          <w:rFonts w:ascii="Arial" w:hAnsi="Arial" w:cs="Arial"/>
          <w:sz w:val="20"/>
          <w:szCs w:val="20"/>
        </w:rPr>
        <w:t>PA</w:t>
      </w:r>
      <w:r w:rsidR="00487A7A" w:rsidRPr="00487A7A">
        <w:rPr>
          <w:rFonts w:ascii="Arial" w:hAnsi="Arial" w:cs="Arial"/>
          <w:sz w:val="20"/>
          <w:szCs w:val="20"/>
        </w:rPr>
        <w:t xml:space="preserve"> Vietnam Auditing Company Limited</w:t>
      </w:r>
    </w:p>
    <w:p w:rsidR="00487A7A" w:rsidRDefault="00487A7A" w:rsidP="00487A7A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8: Implementation </w:t>
      </w:r>
    </w:p>
    <w:p w:rsidR="00487A7A" w:rsidRDefault="00487A7A" w:rsidP="00487A7A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resolution takes effect from the signing date.</w:t>
      </w:r>
    </w:p>
    <w:p w:rsidR="00487A7A" w:rsidRDefault="008C067B" w:rsidP="00487A7A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meeting of shareholders</w:t>
      </w:r>
      <w:r>
        <w:rPr>
          <w:rFonts w:ascii="Arial" w:hAnsi="Arial" w:cs="Arial"/>
          <w:sz w:val="20"/>
          <w:szCs w:val="20"/>
        </w:rPr>
        <w:t xml:space="preserve"> authorize Board of Directors, General Director Board, Board of Supervisors to carry out the contents approved in the Meeting</w:t>
      </w:r>
      <w:r w:rsidR="007A1948">
        <w:rPr>
          <w:rFonts w:ascii="Arial" w:hAnsi="Arial" w:cs="Arial"/>
          <w:sz w:val="20"/>
          <w:szCs w:val="20"/>
        </w:rPr>
        <w:t xml:space="preserve"> to ensure the benefit of the Company as well as the same of shareholders, </w:t>
      </w:r>
      <w:r w:rsidR="001763C9">
        <w:rPr>
          <w:rFonts w:ascii="Arial" w:hAnsi="Arial" w:cs="Arial"/>
          <w:sz w:val="20"/>
          <w:szCs w:val="20"/>
        </w:rPr>
        <w:t>under the Charter of the Company and current Laws.</w:t>
      </w:r>
    </w:p>
    <w:p w:rsidR="001763C9" w:rsidRDefault="001763C9" w:rsidP="00487A7A">
      <w:p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resolution was 100% approved </w:t>
      </w:r>
      <w:r w:rsidR="00435290">
        <w:rPr>
          <w:rFonts w:ascii="Arial" w:hAnsi="Arial" w:cs="Arial"/>
          <w:sz w:val="20"/>
          <w:szCs w:val="20"/>
        </w:rPr>
        <w:t>in the General Annual Meeting of Shareholders on 25/04/2017.</w:t>
      </w:r>
    </w:p>
    <w:sectPr w:rsidR="001763C9" w:rsidSect="00A25CF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7A84"/>
    <w:multiLevelType w:val="hybridMultilevel"/>
    <w:tmpl w:val="C12C6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BA2D9C"/>
    <w:multiLevelType w:val="hybridMultilevel"/>
    <w:tmpl w:val="0CE06694"/>
    <w:lvl w:ilvl="0" w:tplc="A1F0F59E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5226A"/>
    <w:multiLevelType w:val="hybridMultilevel"/>
    <w:tmpl w:val="A9D8483A"/>
    <w:lvl w:ilvl="0" w:tplc="53C411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12C30"/>
    <w:multiLevelType w:val="hybridMultilevel"/>
    <w:tmpl w:val="BA44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C1056"/>
    <w:multiLevelType w:val="multilevel"/>
    <w:tmpl w:val="6D60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17"/>
    <w:rsid w:val="0000779A"/>
    <w:rsid w:val="0003431B"/>
    <w:rsid w:val="00064D54"/>
    <w:rsid w:val="00071F00"/>
    <w:rsid w:val="00086042"/>
    <w:rsid w:val="000A134E"/>
    <w:rsid w:val="000B0C76"/>
    <w:rsid w:val="000C1ACC"/>
    <w:rsid w:val="00102047"/>
    <w:rsid w:val="00146DFC"/>
    <w:rsid w:val="001509AF"/>
    <w:rsid w:val="001763C9"/>
    <w:rsid w:val="00177BD9"/>
    <w:rsid w:val="00177C49"/>
    <w:rsid w:val="001B2756"/>
    <w:rsid w:val="001C6FB5"/>
    <w:rsid w:val="001F4CD5"/>
    <w:rsid w:val="00206A84"/>
    <w:rsid w:val="00216647"/>
    <w:rsid w:val="002637F4"/>
    <w:rsid w:val="00264A54"/>
    <w:rsid w:val="00285566"/>
    <w:rsid w:val="002863C4"/>
    <w:rsid w:val="002A5B93"/>
    <w:rsid w:val="002B3D91"/>
    <w:rsid w:val="002B7B38"/>
    <w:rsid w:val="00321EB9"/>
    <w:rsid w:val="00325350"/>
    <w:rsid w:val="003512BC"/>
    <w:rsid w:val="00354FFF"/>
    <w:rsid w:val="003551E1"/>
    <w:rsid w:val="0036222B"/>
    <w:rsid w:val="003742B9"/>
    <w:rsid w:val="0038113D"/>
    <w:rsid w:val="0038341E"/>
    <w:rsid w:val="00386DF1"/>
    <w:rsid w:val="00387568"/>
    <w:rsid w:val="00397D8B"/>
    <w:rsid w:val="003F5D84"/>
    <w:rsid w:val="00412228"/>
    <w:rsid w:val="00435290"/>
    <w:rsid w:val="00453774"/>
    <w:rsid w:val="00487A7A"/>
    <w:rsid w:val="004B0017"/>
    <w:rsid w:val="004C1E90"/>
    <w:rsid w:val="00535B0F"/>
    <w:rsid w:val="0054747E"/>
    <w:rsid w:val="00551AF7"/>
    <w:rsid w:val="005536E7"/>
    <w:rsid w:val="00576440"/>
    <w:rsid w:val="00591B71"/>
    <w:rsid w:val="005B224F"/>
    <w:rsid w:val="005B3C04"/>
    <w:rsid w:val="005D51E9"/>
    <w:rsid w:val="005E294B"/>
    <w:rsid w:val="005E31B1"/>
    <w:rsid w:val="00684C17"/>
    <w:rsid w:val="006D3CC2"/>
    <w:rsid w:val="006E0D56"/>
    <w:rsid w:val="007342F9"/>
    <w:rsid w:val="00771C2D"/>
    <w:rsid w:val="00784357"/>
    <w:rsid w:val="007A13B1"/>
    <w:rsid w:val="007A1948"/>
    <w:rsid w:val="007A2263"/>
    <w:rsid w:val="007A3187"/>
    <w:rsid w:val="007B2CF8"/>
    <w:rsid w:val="007B430B"/>
    <w:rsid w:val="007B506D"/>
    <w:rsid w:val="007C1CD8"/>
    <w:rsid w:val="007F5E82"/>
    <w:rsid w:val="00833562"/>
    <w:rsid w:val="00841F5D"/>
    <w:rsid w:val="00870367"/>
    <w:rsid w:val="00880DC8"/>
    <w:rsid w:val="00884269"/>
    <w:rsid w:val="008A4BE6"/>
    <w:rsid w:val="008A5D83"/>
    <w:rsid w:val="008C067B"/>
    <w:rsid w:val="008D730F"/>
    <w:rsid w:val="00922275"/>
    <w:rsid w:val="00924396"/>
    <w:rsid w:val="00924A2A"/>
    <w:rsid w:val="009459B0"/>
    <w:rsid w:val="00966F02"/>
    <w:rsid w:val="00970518"/>
    <w:rsid w:val="00983612"/>
    <w:rsid w:val="009C62BD"/>
    <w:rsid w:val="009D0D03"/>
    <w:rsid w:val="009E4419"/>
    <w:rsid w:val="009E5D9D"/>
    <w:rsid w:val="00A21C75"/>
    <w:rsid w:val="00A25CF3"/>
    <w:rsid w:val="00A336F7"/>
    <w:rsid w:val="00A50292"/>
    <w:rsid w:val="00A84DFE"/>
    <w:rsid w:val="00AA7F47"/>
    <w:rsid w:val="00AF4A13"/>
    <w:rsid w:val="00B0553A"/>
    <w:rsid w:val="00B105B7"/>
    <w:rsid w:val="00B13942"/>
    <w:rsid w:val="00B40FB0"/>
    <w:rsid w:val="00B51D56"/>
    <w:rsid w:val="00B56011"/>
    <w:rsid w:val="00B57BBE"/>
    <w:rsid w:val="00B6169F"/>
    <w:rsid w:val="00B970F8"/>
    <w:rsid w:val="00C56C06"/>
    <w:rsid w:val="00CB5D75"/>
    <w:rsid w:val="00CB7021"/>
    <w:rsid w:val="00CC3FB4"/>
    <w:rsid w:val="00CD2E39"/>
    <w:rsid w:val="00CF329C"/>
    <w:rsid w:val="00D36F6A"/>
    <w:rsid w:val="00D4139B"/>
    <w:rsid w:val="00D905F1"/>
    <w:rsid w:val="00DB2211"/>
    <w:rsid w:val="00DB6B87"/>
    <w:rsid w:val="00DC0B22"/>
    <w:rsid w:val="00DD0EB7"/>
    <w:rsid w:val="00DD75D9"/>
    <w:rsid w:val="00E22710"/>
    <w:rsid w:val="00E23AB4"/>
    <w:rsid w:val="00E353BC"/>
    <w:rsid w:val="00E41EA7"/>
    <w:rsid w:val="00E62D25"/>
    <w:rsid w:val="00E8383E"/>
    <w:rsid w:val="00E84D5A"/>
    <w:rsid w:val="00EC4A4E"/>
    <w:rsid w:val="00ED79B4"/>
    <w:rsid w:val="00F36313"/>
    <w:rsid w:val="00F37A49"/>
    <w:rsid w:val="00F5187F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98737-0216-4F27-B164-7562D9B1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BD"/>
    <w:pPr>
      <w:ind w:left="720"/>
      <w:contextualSpacing/>
    </w:pPr>
  </w:style>
  <w:style w:type="table" w:styleId="TableGrid">
    <w:name w:val="Table Grid"/>
    <w:basedOn w:val="TableNormal"/>
    <w:uiPriority w:val="39"/>
    <w:rsid w:val="009C6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21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QUYẾT ĐỊNH</vt:lpstr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QUYẾT ĐỊNH</dc:title>
  <dc:subject/>
  <dc:creator>VU</dc:creator>
  <cp:keywords/>
  <dc:description/>
  <cp:lastModifiedBy>USER</cp:lastModifiedBy>
  <cp:revision>4</cp:revision>
  <dcterms:created xsi:type="dcterms:W3CDTF">2017-05-05T09:46:00Z</dcterms:created>
  <dcterms:modified xsi:type="dcterms:W3CDTF">2017-05-09T02:33:00Z</dcterms:modified>
</cp:coreProperties>
</file>